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الدوائر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المتراكزة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الجغرافية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رفل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التركيب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الداخلي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للمدن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ونظرياتة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:-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الباحثين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نظريات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ماياتي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:-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الدوائر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1"/>
        </w:rPr>
        <w:t xml:space="preserve">المتراكزة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استنتاجية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استنتجها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ارنت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بيرجس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وذالك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دراستة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بتوزيع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شيكاغو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الامريكيه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نشرت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1925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وتقوم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اساس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تتخذ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دائرية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تحيط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بمركز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المخطط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الاتي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:-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الانتقالية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سكنية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تجارية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)2.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المتوسطة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الغنية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الضواحي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والاياب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0" distT="0" distL="0" distR="0">
            <wp:extent cx="3810000" cy="2105025"/>
            <wp:effectExtent b="0" l="0" r="0" t="0"/>
            <wp:docPr descr="C:\Users\Nameer\Pictures\نموذج بيرجس.gif" id="1" name="image1.png"/>
            <a:graphic>
              <a:graphicData uri="http://schemas.openxmlformats.org/drawingml/2006/picture">
                <pic:pic>
                  <pic:nvPicPr>
                    <pic:cNvPr descr="C:\Users\Nameer\Pictures\نموذج بيرجس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وتستند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نمو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وتوسعها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المساحي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المركزية</w:t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وجهت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الانتقادات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استنتجت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صناعية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متقدمة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لايمكن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تنطبق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حالتها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الاخرى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لايمكن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تتخذ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شكلا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هندسيا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كالشكل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الدائري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شيكاغو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استنتجت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تتخذ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شكلا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دائريا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بحيرة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مشكن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تاخذ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بنظر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الاعتبار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تاثير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المظاهر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الطبيعية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نمو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وتوسعها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اهملت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تلعبة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توسع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المدينة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اهملت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ودور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الادارية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نمو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وتوسع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المدن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ورغم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الانتقادات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فانها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لاتقل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القيمة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للنظرية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باعتبارها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النظريات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الرائدة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استعمالات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الارض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1"/>
        </w:rPr>
        <w:t xml:space="preserve">المدن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