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</w:rPr>
        <w:object w:dxaOrig="95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 o:ole="">
            <v:imagedata r:id="rId5" o:title=""/>
          </v:shape>
          <o:OLEObject Type="Embed" ProgID="PowerPoint.Slide.12" ShapeID="_x0000_i1025" DrawAspect="Content" ObjectID="_1636359648" r:id="rId6"/>
        </w:object>
      </w:r>
    </w:p>
    <w:p w:rsidR="00000000" w:rsidRPr="00550F21" w:rsidRDefault="00550F21" w:rsidP="00F8193A">
      <w:p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550F2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يعرف تلوث التربة بأنه </w:t>
      </w:r>
      <w:r w:rsidRPr="00550F2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: 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دخول مواد غريبة في التربة أو زيادة في تركيز إحدى مكوناتها الطبيعية مما يؤدي إلى تغير في التركيب الكيميائي والفيزيائي للتربة 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أهم مصادر التربة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1 – استخدام المبيدات .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2 – استخدام الأسمدة الكيميائية .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3 – التلوث الإشعاعي للتربة . 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4 –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50F21">
        <w:rPr>
          <w:rFonts w:asciiTheme="majorBidi" w:hAnsiTheme="majorBidi" w:cstheme="majorBidi"/>
          <w:sz w:val="32"/>
          <w:szCs w:val="32"/>
          <w:rtl/>
        </w:rPr>
        <w:t>مصادر أخرى</w:t>
      </w:r>
    </w:p>
    <w:p w:rsidR="00F8193A" w:rsidRPr="00550F21" w:rsidRDefault="00F8193A" w:rsidP="00F8193A">
      <w:pPr>
        <w:tabs>
          <w:tab w:val="left" w:pos="95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50F21">
        <w:rPr>
          <w:rFonts w:asciiTheme="majorBidi" w:hAnsiTheme="majorBidi" w:cstheme="majorBidi"/>
          <w:b/>
          <w:bCs/>
          <w:sz w:val="32"/>
          <w:szCs w:val="32"/>
          <w:rtl/>
        </w:rPr>
        <w:t>التلوث الغذائي</w:t>
      </w:r>
    </w:p>
    <w:p w:rsidR="00F8193A" w:rsidRPr="00550F21" w:rsidRDefault="00F8193A" w:rsidP="00F8193A">
      <w:pPr>
        <w:tabs>
          <w:tab w:val="left" w:pos="956"/>
        </w:tabs>
        <w:rPr>
          <w:rFonts w:asciiTheme="majorBidi" w:hAnsiTheme="majorBidi" w:cstheme="majorBidi"/>
          <w:sz w:val="32"/>
          <w:szCs w:val="32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نتيجة الزيادة السكانية الهائلة 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و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تزايد الطلب على الغذاء في جميع أنحاء العالم، مما دفع المزارعين إلى استخدام أنواع مختلفة من المخصبات الزراعية </w:t>
      </w:r>
    </w:p>
    <w:p w:rsidR="00F8193A" w:rsidRPr="00550F21" w:rsidRDefault="00F8193A" w:rsidP="00F8193A">
      <w:pPr>
        <w:tabs>
          <w:tab w:val="left" w:pos="95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*</w:t>
      </w:r>
      <w:r w:rsidRPr="00550F21">
        <w:rPr>
          <w:rFonts w:asciiTheme="majorBidi" w:hAnsiTheme="majorBidi" w:cstheme="majorBidi"/>
          <w:sz w:val="32"/>
          <w:szCs w:val="32"/>
          <w:u w:val="single"/>
          <w:rtl/>
        </w:rPr>
        <w:t>لزيادة خصوبة التربة</w:t>
      </w:r>
      <w:r w:rsidRPr="00550F21"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 xml:space="preserve"> </w:t>
      </w:r>
    </w:p>
    <w:p w:rsidR="00F8193A" w:rsidRPr="00550F21" w:rsidRDefault="00F8193A" w:rsidP="00F8193A">
      <w:pPr>
        <w:tabs>
          <w:tab w:val="left" w:pos="95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>*ل</w:t>
      </w:r>
      <w:r w:rsidRPr="00550F21">
        <w:rPr>
          <w:rFonts w:asciiTheme="majorBidi" w:hAnsiTheme="majorBidi" w:cstheme="majorBidi"/>
          <w:sz w:val="32"/>
          <w:szCs w:val="32"/>
          <w:u w:val="single"/>
          <w:rtl/>
        </w:rPr>
        <w:t xml:space="preserve">زيادة </w:t>
      </w:r>
      <w:proofErr w:type="spellStart"/>
      <w:r w:rsidRPr="00550F21">
        <w:rPr>
          <w:rFonts w:asciiTheme="majorBidi" w:hAnsiTheme="majorBidi" w:cstheme="majorBidi"/>
          <w:sz w:val="32"/>
          <w:szCs w:val="32"/>
          <w:u w:val="single"/>
          <w:rtl/>
        </w:rPr>
        <w:t>انتاجها</w:t>
      </w:r>
      <w:proofErr w:type="spellEnd"/>
      <w:r w:rsidRPr="00550F21">
        <w:rPr>
          <w:rFonts w:asciiTheme="majorBidi" w:hAnsiTheme="majorBidi" w:cstheme="majorBidi"/>
          <w:sz w:val="32"/>
          <w:szCs w:val="32"/>
          <w:u w:val="single"/>
          <w:rtl/>
        </w:rPr>
        <w:t xml:space="preserve"> من المحاصيل المختلفة</w:t>
      </w:r>
      <w:r w:rsidRPr="00550F21"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  <w:t xml:space="preserve"> </w:t>
      </w:r>
    </w:p>
    <w:p w:rsidR="00F8193A" w:rsidRPr="00550F21" w:rsidRDefault="00F8193A" w:rsidP="00F8193A">
      <w:pPr>
        <w:tabs>
          <w:tab w:val="left" w:pos="956"/>
        </w:tabs>
        <w:rPr>
          <w:rFonts w:asciiTheme="majorBidi" w:hAnsiTheme="majorBidi" w:cstheme="majorBidi"/>
          <w:sz w:val="32"/>
          <w:szCs w:val="32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 و التي يعتمد عليها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الانسان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في حياته. و عند استخدام تلك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المبيدات و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 المخصبات الزراعية بطريقة غير محسوبة فإن جزء كبير منها  ي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ب</w:t>
      </w:r>
      <w:r w:rsidRPr="00550F21">
        <w:rPr>
          <w:rFonts w:asciiTheme="majorBidi" w:hAnsiTheme="majorBidi" w:cstheme="majorBidi"/>
          <w:sz w:val="32"/>
          <w:szCs w:val="32"/>
          <w:rtl/>
        </w:rPr>
        <w:t>ق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ى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 في التربة مسبباً تلوثاً لها </w:t>
      </w:r>
      <w:r w:rsidRPr="00550F21">
        <w:rPr>
          <w:rFonts w:asciiTheme="majorBidi" w:hAnsiTheme="majorBidi" w:cstheme="majorBidi"/>
          <w:sz w:val="32"/>
          <w:szCs w:val="32"/>
          <w:rtl/>
        </w:rPr>
        <w:lastRenderedPageBreak/>
        <w:t xml:space="preserve">،و هذا الجزء المتبقي يكون </w:t>
      </w:r>
      <w:r w:rsidRPr="00550F21">
        <w:rPr>
          <w:rFonts w:asciiTheme="majorBidi" w:hAnsiTheme="majorBidi" w:cstheme="majorBidi"/>
          <w:sz w:val="32"/>
          <w:szCs w:val="32"/>
          <w:u w:val="single"/>
          <w:rtl/>
        </w:rPr>
        <w:t xml:space="preserve">زائداً عن حاجة النبات </w:t>
      </w:r>
      <w:r w:rsidRPr="00550F21">
        <w:rPr>
          <w:rFonts w:asciiTheme="majorBidi" w:hAnsiTheme="majorBidi" w:cstheme="majorBidi"/>
          <w:sz w:val="32"/>
          <w:szCs w:val="32"/>
          <w:rtl/>
        </w:rPr>
        <w:t>و هو يعد إسرافاً ليس له مبرر من الناحية الاقتصادية</w:t>
      </w:r>
    </w:p>
    <w:p w:rsidR="00F8193A" w:rsidRPr="00550F21" w:rsidRDefault="00F8193A" w:rsidP="00F8193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50F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مصادر تلوث المنتجات الزراعية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اولا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: التلوث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بالمبيداتعلى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الرغم من ضرورة استخدامها 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</w:t>
      </w:r>
      <w:r w:rsidRPr="00550F21">
        <w:rPr>
          <w:rFonts w:asciiTheme="majorBidi" w:hAnsiTheme="majorBidi" w:cstheme="majorBidi"/>
          <w:sz w:val="32"/>
          <w:szCs w:val="32"/>
          <w:rtl/>
        </w:rPr>
        <w:t>ل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انها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تعد 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إحدى الملوثات الكيميائية الخطيرة للمنتجات الزراعية 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وذلك </w:t>
      </w:r>
      <w:r w:rsidRPr="00550F21">
        <w:rPr>
          <w:rFonts w:asciiTheme="majorBidi" w:hAnsiTheme="majorBidi" w:cstheme="majorBidi"/>
          <w:sz w:val="32"/>
          <w:szCs w:val="32"/>
          <w:rtl/>
        </w:rPr>
        <w:t>عندما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1-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 ترش رشاً جائراً وبنسب عالية عن الحدود المنصوص عليها دولياً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2- </w:t>
      </w:r>
      <w:r w:rsidRPr="00550F21">
        <w:rPr>
          <w:rFonts w:asciiTheme="majorBidi" w:hAnsiTheme="majorBidi" w:cstheme="majorBidi"/>
          <w:sz w:val="32"/>
          <w:szCs w:val="32"/>
          <w:rtl/>
        </w:rPr>
        <w:t>الاستعجال في قطف هذه المنتجات الزراعية من قبل المزارعين وعدم تركها فترة زمنية كافية للتخلص من بقايا هذه المبيدات يزيد من تفاقم هذه المشكلة</w:t>
      </w:r>
      <w:r w:rsidRPr="00550F21">
        <w:rPr>
          <w:rFonts w:asciiTheme="majorBidi" w:hAnsiTheme="majorBidi" w:cstheme="majorBidi"/>
          <w:sz w:val="32"/>
          <w:szCs w:val="32"/>
        </w:rPr>
        <w:t xml:space="preserve"> 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ثانيا: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التلوث بالمخصبات(ألأسمدة)هي تلك المركبات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الكيمياوية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(غير العضوية) وبالتحديد الأسمدة الفوسفاتية التي تستخدم لزيادة خصوبة التربة الزراعية إلا إن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التاثير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سلبي عند: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1-</w:t>
      </w:r>
      <w:r w:rsidRPr="00550F21">
        <w:rPr>
          <w:rFonts w:asciiTheme="majorBidi" w:hAnsiTheme="majorBidi" w:cstheme="majorBidi"/>
          <w:sz w:val="32"/>
          <w:szCs w:val="32"/>
          <w:rtl/>
        </w:rPr>
        <w:t>الإسراف في استخدامها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F8193A" w:rsidRPr="00550F21" w:rsidRDefault="00F8193A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2-</w:t>
      </w:r>
      <w:r w:rsidRPr="00550F21">
        <w:rPr>
          <w:rFonts w:asciiTheme="majorBidi" w:hAnsiTheme="majorBidi" w:cstheme="majorBidi"/>
          <w:sz w:val="32"/>
          <w:szCs w:val="32"/>
          <w:rtl/>
        </w:rPr>
        <w:t>سوء استخدامها كما ونوعا ومكانا وزمانا هو الذي يخل بمعادلة التوازن بين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550F21">
        <w:rPr>
          <w:rFonts w:asciiTheme="majorBidi" w:hAnsiTheme="majorBidi" w:cstheme="majorBidi"/>
          <w:sz w:val="32"/>
          <w:szCs w:val="32"/>
          <w:rtl/>
        </w:rPr>
        <w:t>ما يحتاجه النبات من هذه المخصبات وما يضاف منها إلى التربة الزراعية</w:t>
      </w:r>
      <w:r w:rsidRPr="00550F2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F8193A" w:rsidRPr="00550F21" w:rsidRDefault="00550F21" w:rsidP="00F8193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ثالثا:تلوث الغذاء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الاشعاعي</w:t>
      </w:r>
      <w:proofErr w:type="spellEnd"/>
    </w:p>
    <w:p w:rsidR="00000000" w:rsidRPr="00550F21" w:rsidRDefault="00550F21" w:rsidP="00550F21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تتلوث التربة </w:t>
      </w:r>
      <w:r w:rsidRPr="00550F21">
        <w:rPr>
          <w:rFonts w:asciiTheme="majorBidi" w:hAnsiTheme="majorBidi" w:cstheme="majorBidi"/>
          <w:sz w:val="32"/>
          <w:szCs w:val="32"/>
          <w:rtl/>
        </w:rPr>
        <w:t>بالإشعاع نتيجة للتطبيقات:</w:t>
      </w:r>
    </w:p>
    <w:p w:rsidR="00000000" w:rsidRPr="00550F21" w:rsidRDefault="00550F21" w:rsidP="00550F21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العسكرية .</w:t>
      </w:r>
    </w:p>
    <w:p w:rsidR="00000000" w:rsidRPr="00550F21" w:rsidRDefault="00550F21" w:rsidP="00550F21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الصناعية . </w:t>
      </w:r>
    </w:p>
    <w:p w:rsidR="00000000" w:rsidRPr="00550F21" w:rsidRDefault="00550F21" w:rsidP="00550F21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الطبية .</w:t>
      </w:r>
    </w:p>
    <w:p w:rsidR="00000000" w:rsidRPr="00550F21" w:rsidRDefault="00550F21" w:rsidP="00550F21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البحثية و غيرها من التطبيقات .</w:t>
      </w:r>
    </w:p>
    <w:p w:rsidR="00000000" w:rsidRPr="00550F21" w:rsidRDefault="00550F21" w:rsidP="00550F21">
      <w:pPr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تصل الملوثات الإشعاعية إلى التربة عن طريق :</w:t>
      </w:r>
    </w:p>
    <w:p w:rsidR="00000000" w:rsidRPr="00550F21" w:rsidRDefault="00550F21" w:rsidP="00550F21">
      <w:pPr>
        <w:numPr>
          <w:ilvl w:val="0"/>
          <w:numId w:val="5"/>
        </w:numPr>
        <w:tabs>
          <w:tab w:val="num" w:pos="720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ترسبها من الهواء .</w:t>
      </w:r>
    </w:p>
    <w:p w:rsidR="00000000" w:rsidRPr="00550F21" w:rsidRDefault="00550F21" w:rsidP="00550F21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دفنها مباشرة في التربة </w:t>
      </w:r>
    </w:p>
    <w:p w:rsidR="00550F21" w:rsidRPr="00550F21" w:rsidRDefault="00550F21" w:rsidP="00550F21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اثر تلوث المنتجات الزراعية على صحة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الانسان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50F21" w:rsidRPr="00550F21" w:rsidRDefault="00550F21" w:rsidP="00550F21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550F21" w:rsidRPr="00550F21" w:rsidRDefault="00550F21" w:rsidP="00550F21">
      <w:pPr>
        <w:ind w:left="284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خطورة </w:t>
      </w:r>
      <w:r w:rsidRPr="00550F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ملوثات التربة تكمن في كونها</w:t>
      </w:r>
      <w:r w:rsidRPr="00550F2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تؤثر على </w:t>
      </w:r>
      <w:r w:rsidRPr="00550F2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</w:p>
    <w:p w:rsidR="00550F21" w:rsidRPr="00550F21" w:rsidRDefault="00550F21" w:rsidP="00550F21">
      <w:pPr>
        <w:ind w:left="644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1-</w:t>
      </w:r>
      <w:r w:rsidRPr="00550F21">
        <w:rPr>
          <w:rFonts w:asciiTheme="majorBidi" w:hAnsiTheme="majorBidi" w:cstheme="majorBidi"/>
          <w:sz w:val="32"/>
          <w:szCs w:val="32"/>
          <w:rtl/>
        </w:rPr>
        <w:t>الجهاز العصبي بصفة خاصة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50F21" w:rsidRPr="00550F21" w:rsidRDefault="00550F21" w:rsidP="00550F21">
      <w:pPr>
        <w:ind w:left="644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2-</w:t>
      </w:r>
      <w:r w:rsidRPr="00550F21">
        <w:rPr>
          <w:rFonts w:asciiTheme="majorBidi" w:hAnsiTheme="majorBidi" w:cstheme="majorBidi"/>
          <w:sz w:val="32"/>
          <w:szCs w:val="32"/>
          <w:rtl/>
        </w:rPr>
        <w:t>وتحدث خللاً في وظائف أعضاء الجسم المختلفة مثل الكبد والكلى والقلب وأعضاء التناسل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550F21" w:rsidRPr="00550F21" w:rsidRDefault="00550F21" w:rsidP="00550F21">
      <w:pPr>
        <w:ind w:left="644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3-</w:t>
      </w:r>
      <w:r w:rsidRPr="00550F21">
        <w:rPr>
          <w:rFonts w:asciiTheme="majorBidi" w:hAnsiTheme="majorBidi" w:cstheme="majorBidi"/>
          <w:sz w:val="32"/>
          <w:szCs w:val="32"/>
          <w:rtl/>
        </w:rPr>
        <w:t>يصل التأثير إلى أهم مكونات الخلية حيث تحدث تأثيرات وراثية أو سرطانية أو تشوه خلقي في المواليد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</w:p>
    <w:p w:rsidR="00550F21" w:rsidRPr="00550F21" w:rsidRDefault="00550F21" w:rsidP="00550F21">
      <w:pPr>
        <w:ind w:left="284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 xml:space="preserve">        ويتعدى الأمر إلى خلل في سلوك الأفراد وخاصة الأطفال. </w:t>
      </w:r>
    </w:p>
    <w:p w:rsidR="00550F21" w:rsidRPr="00550F21" w:rsidRDefault="00550F21" w:rsidP="00550F21">
      <w:pPr>
        <w:ind w:left="644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4-</w:t>
      </w:r>
      <w:r w:rsidRPr="00550F21">
        <w:rPr>
          <w:rFonts w:asciiTheme="majorBidi" w:hAnsiTheme="majorBidi" w:cstheme="majorBidi"/>
          <w:sz w:val="32"/>
          <w:szCs w:val="32"/>
          <w:rtl/>
        </w:rPr>
        <w:t>السمنة، السكري، سكري الحمل، الزهايمر، وضغط الدم المرتفع بالإضافة إلى اختلال في توازن هرمونات الجسم والعقم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550F21" w:rsidRPr="00550F21" w:rsidRDefault="00550F21" w:rsidP="00550F21">
      <w:p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</w:rPr>
        <w:t>ليست جميع أنواع الخضار والفواكه متساوية في كمية المبيدات</w:t>
      </w:r>
      <w:r w:rsidRPr="00550F21">
        <w:rPr>
          <w:rFonts w:asciiTheme="majorBidi" w:hAnsiTheme="majorBidi" w:cstheme="majorBidi"/>
          <w:sz w:val="32"/>
          <w:szCs w:val="32"/>
          <w:lang w:bidi="ar-IQ"/>
        </w:rPr>
        <w:br/>
      </w:r>
      <w:r w:rsidRPr="00550F21">
        <w:rPr>
          <w:rFonts w:asciiTheme="majorBidi" w:hAnsiTheme="majorBidi" w:cstheme="majorBidi"/>
          <w:sz w:val="32"/>
          <w:szCs w:val="32"/>
          <w:rtl/>
        </w:rPr>
        <w:t>أصدرت وكالة حماية البيئة الأمريكية تقريرا حول تركيز المبيدات الزراعية في عينات من الخضار والفواكه، وكشفت أن أنواع الخضار والفواكه التالية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550F21" w:rsidRPr="00550F21" w:rsidRDefault="00550F21" w:rsidP="00550F2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لا تحتوي على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تراكيز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عالية من الملوثات</w:t>
      </w:r>
    </w:p>
    <w:p w:rsidR="00550F21" w:rsidRPr="00550F21" w:rsidRDefault="00550F21" w:rsidP="00550F2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الأفوكادو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الذرة الصفراء، الأناناس، الملفوف، البصل،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الأسبرجس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المانجا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الكيوي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الباذنجان،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الجريبفروت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الشمام، الزهر،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البطاطا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الحلوة، المشروم والبطيخ. ويعتبر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الأفوكادو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أكثر المحاصيل آمانا من المبيدات الزراعية حيث احتوى 1% فقط من عيناته على بقايا المبيدات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50F21" w:rsidRPr="00550F21" w:rsidRDefault="00550F21" w:rsidP="00550F21">
      <w:pPr>
        <w:rPr>
          <w:rFonts w:asciiTheme="majorBidi" w:hAnsiTheme="majorBidi" w:cstheme="majorBidi"/>
          <w:sz w:val="32"/>
          <w:szCs w:val="32"/>
          <w:lang w:bidi="ar-IQ"/>
        </w:rPr>
      </w:pP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تحتوي على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>تراكيز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عالية من الملوثات</w:t>
      </w:r>
      <w:r w:rsidRPr="00550F21">
        <w:rPr>
          <w:rFonts w:asciiTheme="majorBidi" w:hAnsiTheme="majorBidi" w:cstheme="majorBidi"/>
          <w:sz w:val="32"/>
          <w:szCs w:val="32"/>
          <w:rtl/>
        </w:rPr>
        <w:t xml:space="preserve"> التفاح، الفراولة، العنب،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السلري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الدراق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السبانخ، الفلفل الحلو،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النكترين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الخيار،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البندورة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 ذات الحبة الصغيرة،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البطاطا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550F21">
        <w:rPr>
          <w:rFonts w:asciiTheme="majorBidi" w:hAnsiTheme="majorBidi" w:cstheme="majorBidi"/>
          <w:sz w:val="32"/>
          <w:szCs w:val="32"/>
          <w:rtl/>
        </w:rPr>
        <w:t>الخس</w:t>
      </w:r>
      <w:proofErr w:type="spellEnd"/>
      <w:r w:rsidRPr="00550F21">
        <w:rPr>
          <w:rFonts w:asciiTheme="majorBidi" w:hAnsiTheme="majorBidi" w:cstheme="majorBidi"/>
          <w:sz w:val="32"/>
          <w:szCs w:val="32"/>
          <w:rtl/>
        </w:rPr>
        <w:t>، الأجاص، والجزر. وقد احتوت حبة من العنب على رواسب 15 نوع من المبيدات، مما يجعل العنب وورقه من الأغذية المعرّضة لكميات عالية من السموم الكيماوية</w:t>
      </w:r>
      <w:r w:rsidRPr="00550F21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550F21" w:rsidRPr="00550F21" w:rsidRDefault="00550F21" w:rsidP="00550F21">
      <w:pPr>
        <w:rPr>
          <w:rFonts w:asciiTheme="majorBidi" w:hAnsiTheme="majorBidi" w:cstheme="majorBidi"/>
          <w:sz w:val="32"/>
          <w:szCs w:val="32"/>
          <w:lang w:bidi="ar-IQ"/>
        </w:rPr>
      </w:pPr>
    </w:p>
    <w:sectPr w:rsidR="00550F21" w:rsidRPr="00550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F8F"/>
    <w:multiLevelType w:val="hybridMultilevel"/>
    <w:tmpl w:val="9028EC60"/>
    <w:lvl w:ilvl="0" w:tplc="CA68A8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ar-IQ"/>
      </w:rPr>
    </w:lvl>
    <w:lvl w:ilvl="1" w:tplc="1A1C2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E4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2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2A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CB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85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07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49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4E3C"/>
    <w:multiLevelType w:val="hybridMultilevel"/>
    <w:tmpl w:val="146CF0E0"/>
    <w:lvl w:ilvl="0" w:tplc="8020D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61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CF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44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AA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8D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2B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E2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27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E778D"/>
    <w:multiLevelType w:val="hybridMultilevel"/>
    <w:tmpl w:val="532EA690"/>
    <w:lvl w:ilvl="0" w:tplc="4C40B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24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47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C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88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03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A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2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03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C80DA6"/>
    <w:multiLevelType w:val="hybridMultilevel"/>
    <w:tmpl w:val="83E8C74A"/>
    <w:lvl w:ilvl="0" w:tplc="F4D6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A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A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41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6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2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A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E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C5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427AA5"/>
    <w:multiLevelType w:val="hybridMultilevel"/>
    <w:tmpl w:val="BF22FBA8"/>
    <w:lvl w:ilvl="0" w:tplc="16BA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45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0F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4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8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07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2B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80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E2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8193A"/>
    <w:rsid w:val="00550F21"/>
    <w:rsid w:val="00F8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193A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819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383">
          <w:marLeft w:val="0"/>
          <w:marRight w:val="630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060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552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008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56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296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388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86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315">
          <w:marLeft w:val="0"/>
          <w:marRight w:val="965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</dc:creator>
  <cp:keywords/>
  <dc:description/>
  <cp:lastModifiedBy>raad</cp:lastModifiedBy>
  <cp:revision>2</cp:revision>
  <dcterms:created xsi:type="dcterms:W3CDTF">2019-11-27T08:07:00Z</dcterms:created>
  <dcterms:modified xsi:type="dcterms:W3CDTF">2019-11-27T08:34:00Z</dcterms:modified>
</cp:coreProperties>
</file>