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المحاضرة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</w:t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المحاضر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اوراس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الحسين</w:t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الصف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الاول</w:t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طقس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ومناخ</w:t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تقسيم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الغازي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عموديا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التروبوسفير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مميزاتها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8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18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المدارية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تحظى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المهتمين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بالطقس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المظاهر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والمناخية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وامطار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واعاصير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وعواصف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ثقيلة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لهوائها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4/5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تتناقص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بمعدل</w:t>
      </w:r>
      <w:r w:rsidDel="00000000" w:rsidR="00000000" w:rsidRPr="00000000">
        <w:rPr>
          <w:sz w:val="28"/>
          <w:szCs w:val="28"/>
          <w:rtl w:val="1"/>
        </w:rPr>
        <w:t xml:space="preserve"> 0.64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100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التناقص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منتظما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يحدها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انتقالية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بالتروبوبوز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سمكا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انتقالية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الخصائص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للتروبوسفير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بالستراتوسفير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التروبوبوز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الاضطرابات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الانتقالية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9-12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وبين</w:t>
      </w:r>
      <w:r w:rsidDel="00000000" w:rsidR="00000000" w:rsidRPr="00000000">
        <w:rPr>
          <w:sz w:val="28"/>
          <w:szCs w:val="28"/>
          <w:rtl w:val="1"/>
        </w:rPr>
        <w:t xml:space="preserve"> 16-17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الانتقالية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-50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-70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الاستوائية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والاضطرابات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حظيت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الانتقالية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الستراتوسفير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تمتد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الستراتوسفير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11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80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التروبوبوز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الستراتوسفير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عكس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التروبوسفير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افقيا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50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البنفسجية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يمتصها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وتمتاز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الافقية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والرأسية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للتيارات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الريح</w:t>
      </w:r>
      <w:r w:rsidDel="00000000" w:rsidR="00000000" w:rsidRPr="00000000">
        <w:rPr>
          <w:sz w:val="28"/>
          <w:szCs w:val="28"/>
          <w:rtl w:val="1"/>
        </w:rPr>
        <w:t xml:space="preserve"> 250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وينعدم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التروبوسفرية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تتجاوز</w:t>
      </w:r>
      <w:r w:rsidDel="00000000" w:rsidR="00000000" w:rsidRPr="00000000">
        <w:rPr>
          <w:sz w:val="28"/>
          <w:szCs w:val="28"/>
          <w:rtl w:val="1"/>
        </w:rPr>
        <w:t xml:space="preserve"> 12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الرطوبة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النسبية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25%،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بتخلخل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للغازات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20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يساوي</w:t>
      </w:r>
      <w:r w:rsidDel="00000000" w:rsidR="00000000" w:rsidRPr="00000000">
        <w:rPr>
          <w:sz w:val="28"/>
          <w:szCs w:val="28"/>
          <w:rtl w:val="1"/>
        </w:rPr>
        <w:t xml:space="preserve"> 50 </w:t>
      </w:r>
      <w:r w:rsidDel="00000000" w:rsidR="00000000" w:rsidRPr="00000000">
        <w:rPr>
          <w:sz w:val="28"/>
          <w:szCs w:val="28"/>
          <w:rtl w:val="1"/>
        </w:rPr>
        <w:t xml:space="preserve">مليبار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1015 </w:t>
      </w:r>
      <w:r w:rsidDel="00000000" w:rsidR="00000000" w:rsidRPr="00000000">
        <w:rPr>
          <w:sz w:val="28"/>
          <w:szCs w:val="28"/>
          <w:rtl w:val="1"/>
        </w:rPr>
        <w:t xml:space="preserve">مليبار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95%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المكونة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 20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((</w:t>
      </w:r>
      <w:r w:rsidDel="00000000" w:rsidR="00000000" w:rsidRPr="00000000">
        <w:rPr>
          <w:sz w:val="28"/>
          <w:szCs w:val="28"/>
          <w:rtl w:val="1"/>
        </w:rPr>
        <w:t xml:space="preserve">الستراتوبوز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))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الميزوسفير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مسافة</w:t>
      </w:r>
      <w:r w:rsidDel="00000000" w:rsidR="00000000" w:rsidRPr="00000000">
        <w:rPr>
          <w:sz w:val="28"/>
          <w:szCs w:val="28"/>
          <w:rtl w:val="1"/>
        </w:rPr>
        <w:t xml:space="preserve"> 50-80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وتمتاز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بانخفاض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-90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الميزوسفير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 170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الميزوسفير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امتصاص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الازون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لأشعة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البنفسجية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الازون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تناقص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والنيازك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والمتهيجة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لاحتراق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ترتفع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الثروسفير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80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خصائص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وكهربائية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متميزة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ترتفع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1000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تقريبا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لتفكك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مركباتها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خصائص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ديناميكية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فمراقبة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المتأينة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اللاسلكي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تكشف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بسرعة</w:t>
      </w:r>
      <w:r w:rsidDel="00000000" w:rsidR="00000000" w:rsidRPr="00000000">
        <w:rPr>
          <w:sz w:val="28"/>
          <w:szCs w:val="28"/>
          <w:rtl w:val="1"/>
        </w:rPr>
        <w:t xml:space="preserve"> 10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ثا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250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اللاسلكية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بعكس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تبثها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اللاسلكية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ind w:firstLine="540"/>
        <w:contextualSpacing w:val="0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ظاهرة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الجنوبي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الجنوبي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الظاهرة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اضطراب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كهربائي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الايونوسفير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تيارات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ضوئية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والجنوبي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مصطلح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الاكزوسفير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</w:t>
      </w:r>
      <w:r w:rsidDel="00000000" w:rsidR="00000000" w:rsidRPr="00000000">
        <w:rPr>
          <w:sz w:val="28"/>
          <w:szCs w:val="28"/>
          <w:rtl w:val="1"/>
        </w:rPr>
        <w:t xml:space="preserve">.ِ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2619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