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Murouge m. Abbas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Definition of sociology and its importance</w:t>
      </w:r>
    </w:p>
    <w:p>
      <w:pPr/>
      <w:r>
        <w:rPr/>
        <w:t xml:space="preserve">Total learning time: 5 hours and 30 minutes</w:t>
      </w:r>
    </w:p>
    <w:p>
      <w:pPr/>
      <w:r>
        <w:rPr/>
        <w:t xml:space="preserve">Designed learning time: 26 minutes</w:t>
      </w:r>
    </w:p>
    <w:p>
      <w:pPr/>
      <w:r>
        <w:rPr/>
        <w:t xml:space="preserve">Size of class: 15</w:t>
      </w:r>
    </w:p>
    <w:p>
      <w:pPr/>
      <w:r>
        <w:rPr/>
        <w:t xml:space="preserve">Description: Sociology is the most prominent human scie nce concerned with human life and trying to find solutions to social problems</w:t>
      </w:r>
    </w:p>
    <w:p>
      <w:pPr/>
      <w:r>
        <w:rPr/>
        <w:t xml:space="preserve">Mode of delivery: No mode selected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learn about sociology and its importance</w:t>
      </w:r>
    </w:p>
    <w:p>
      <w:pPr>
        <w:pStyle w:val="Heading2"/>
      </w:pPr>
      <w:bookmarkStart w:id="4" w:name="_Toc4"/>
      <w:r>
        <w:t>Outcomes</w:t>
      </w:r>
      <w:bookmarkEnd w:id="4"/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6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5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4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2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4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5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23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15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15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19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19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62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6</c:v>
              </c:pt>
              <c:pt idx="1">
                <c:v>5</c:v>
              </c:pt>
              <c:pt idx="2">
                <c:v>4</c:v>
              </c:pt>
              <c:pt idx="3">
                <c:v>2</c:v>
              </c:pt>
              <c:pt idx="4">
                <c:v>4</c:v>
              </c:pt>
              <c:pt idx="5">
                <c:v>5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10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16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26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0</c:v>
              </c:pt>
              <c:pt idx="1">
                <c:v>26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2023-02-17T17:48:29+00:00</dcterms:created>
  <dcterms:modified xsi:type="dcterms:W3CDTF">2023-02-17T17:48:29+00:00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