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hussein khalil Ibrahim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The nature of Iraqi society components</w:t>
      </w:r>
    </w:p>
    <w:p>
      <w:pPr/>
      <w:r>
        <w:rPr/>
        <w:t xml:space="preserve">Total learning time: 5 hours and 8 minutes</w:t>
      </w:r>
    </w:p>
    <w:p>
      <w:pPr/>
      <w:r>
        <w:rPr/>
        <w:t xml:space="preserve">Designed learning time: 36 minutes</w:t>
      </w:r>
    </w:p>
    <w:p>
      <w:pPr/>
      <w:r>
        <w:rPr/>
        <w:t xml:space="preserve">Size of class: 37</w:t>
      </w:r>
    </w:p>
    <w:p>
      <w:pPr/>
      <w:r>
        <w:rPr/>
        <w:t xml:space="preserve">Description: it may be permissible to descrebe the Iraqi people as a confused people</w:t>
      </w:r>
    </w:p>
    <w:p>
      <w:pPr/>
      <w:r>
        <w:rPr/>
        <w:t xml:space="preserve">Mode of delivery: Wholly online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clarifying the nature of Iraqi society  in order to reach a solution to a problem that was bothering Dr Al wardi</w:t>
      </w:r>
    </w:p>
    <w:p>
      <w:pPr>
        <w:pStyle w:val="Heading2"/>
      </w:pPr>
      <w:bookmarkStart w:id="4" w:name="_Toc4"/>
      <w:r>
        <w:t>Outcomes</w:t>
      </w:r>
      <w:bookmarkEnd w:id="4"/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5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7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6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9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4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3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8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6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Online</w:t>
            </w:r>
          </w:p>
        </w:tc>
      </w:tr>
    </w:tbl>
    <w:p>
      <w:pPr/>
      <w:r>
        <w:rPr/>
        <w:t xml:space="preserve"/>
      </w:r>
    </w:p>
    <w:p/>
    <w:tbl>
      <w:tblGrid>
        <w:gridCol w:w="2040.9448818897636" w:type="dxa"/>
        <w:gridCol w:w="2551.1811023622045" w:type="dxa"/>
        <w:gridCol w:w="1530.7086614173229" w:type="dxa"/>
        <w:gridCol w:w="2324.4094488188975" w:type="dxa"/>
        <w:gridCol w:w="958.1102362204723" w:type="dxa"/>
      </w:tblGrid>
      <w:tr>
        <w:trPr/>
        <w:tc>
          <w:tcPr>
            <w:tcW w:w="2040.9448818897636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045" w:type="dxa"/>
          </w:tcPr>
          <w:p>
            <w:pPr/>
            <w:r>
              <w:rPr>
                <w:i/>
                <w:iCs/>
              </w:rPr>
              <w:t xml:space="preserve">7 minutes</w:t>
            </w:r>
          </w:p>
        </w:tc>
        <w:tc>
          <w:tcPr>
            <w:tcW w:w="1530.7086614173229" w:type="dxa"/>
          </w:tcPr>
          <w:p>
            <w:pPr/>
            <w:r>
              <w:rPr>
                <w:i/>
                <w:iCs/>
              </w:rPr>
              <w:t xml:space="preserve">8 Students</w:t>
            </w:r>
          </w:p>
        </w:tc>
        <w:tc>
          <w:tcPr>
            <w:tcW w:w="2324.4094488188975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23" w:type="dxa"/>
          </w:tcPr>
          <w:p>
            <w:pPr/>
            <w:r>
              <w:rPr>
                <w:i/>
                <w:iCs/>
              </w:rPr>
              <w:t xml:space="preserve">Online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445" w:type="dxa"/>
        <w:gridCol w:w="3401.5748031496059" w:type="dxa"/>
        <w:gridCol w:w="1133.8582677165352" w:type="dxa"/>
        <w:gridCol w:w="566.92913385826762" w:type="dxa"/>
      </w:tblGrid>
      <w:tblPr>
        <w:tblStyle w:val="AnalysisTable"/>
      </w:tblPr>
      <w:tr>
        <w:trPr>
          <w:tblHeader w:val="1"/>
        </w:trPr>
        <w:tc>
          <w:tcPr>
            <w:tcW w:w="3463.9370078740158" w:type="dxa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352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6762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445" w:type="dxa"/>
            <w:shd w:val="clear" w:fill="67DBF2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14</w:t>
            </w:r>
          </w:p>
        </w:tc>
      </w:tr>
      <w:tr>
        <w:trPr/>
        <w:tc>
          <w:tcPr>
            <w:tcW w:w="62.362204724409445" w:type="dxa"/>
            <w:shd w:val="clear" w:fill="F8807F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3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62.362204724409445" w:type="dxa"/>
            <w:shd w:val="clear" w:fill="7AAEEA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9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25</w:t>
            </w:r>
          </w:p>
        </w:tc>
      </w:tr>
      <w:tr>
        <w:trPr/>
        <w:tc>
          <w:tcPr>
            <w:tcW w:w="62.362204724409445" w:type="dxa"/>
            <w:shd w:val="clear" w:fill="BB98DC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17</w:t>
            </w:r>
          </w:p>
        </w:tc>
      </w:tr>
      <w:tr>
        <w:trPr/>
        <w:tc>
          <w:tcPr>
            <w:tcW w:w="62.362204724409445" w:type="dxa"/>
            <w:shd w:val="clear" w:fill="FFCD00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17</w:t>
            </w:r>
          </w:p>
        </w:tc>
      </w:tr>
      <w:tr>
        <w:trPr/>
        <w:tc>
          <w:tcPr>
            <w:tcW w:w="62.362204724409445" w:type="dxa"/>
            <w:shd w:val="clear" w:fill="BDEA75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7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19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445" w:type="dxa"/>
        <w:gridCol w:w="3401.5748031496059" w:type="dxa"/>
        <w:gridCol w:w="1133.8582677165352" w:type="dxa"/>
        <w:gridCol w:w="566.92913385826762" w:type="dxa"/>
      </w:tblGrid>
      <w:tblPr>
        <w:tblStyle w:val="AnalysisTable"/>
      </w:tblPr>
      <w:tr>
        <w:trPr>
          <w:tblHeader w:val="1"/>
        </w:trPr>
        <w:tc>
          <w:tcPr>
            <w:tcW w:w="3463.9370078740158" w:type="dxa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352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6762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445" w:type="dxa"/>
            <w:shd w:val="clear" w:fill="477453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445" w:type="dxa"/>
            <w:shd w:val="clear" w:fill="6BAD7D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36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445" w:type="dxa"/>
            <w:shd w:val="clear" w:fill="B6D7BF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0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445" w:type="dxa"/>
        <w:gridCol w:w="3401.5748031496059" w:type="dxa"/>
        <w:gridCol w:w="1133.8582677165352" w:type="dxa"/>
        <w:gridCol w:w="566.92913385826762" w:type="dxa"/>
      </w:tblGrid>
      <w:tblPr>
        <w:tblStyle w:val="AnalysisTable"/>
      </w:tblPr>
      <w:tr>
        <w:trPr>
          <w:tblHeader w:val="1"/>
        </w:trPr>
        <w:tc>
          <w:tcPr>
            <w:tcW w:w="3463.9370078740158" w:type="dxa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352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6762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445" w:type="dxa"/>
            <w:shd w:val="clear" w:fill="2B5B80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23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64</w:t>
            </w:r>
          </w:p>
        </w:tc>
      </w:tr>
      <w:tr>
        <w:trPr/>
        <w:tc>
          <w:tcPr>
            <w:tcW w:w="62.362204724409445" w:type="dxa"/>
            <w:shd w:val="clear" w:fill="BECBDB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13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36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445" w:type="dxa"/>
        <w:gridCol w:w="3401.5748031496059" w:type="dxa"/>
        <w:gridCol w:w="1133.8582677165352" w:type="dxa"/>
        <w:gridCol w:w="566.92913385826762" w:type="dxa"/>
      </w:tblGrid>
      <w:tblPr>
        <w:tblStyle w:val="AnalysisTable"/>
      </w:tblPr>
      <w:tr>
        <w:trPr>
          <w:tblHeader w:val="1"/>
        </w:trPr>
        <w:tc>
          <w:tcPr>
            <w:tcW w:w="3463.9370078740158" w:type="dxa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352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6762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445" w:type="dxa"/>
            <w:shd w:val="clear" w:fill="73604C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36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445" w:type="dxa"/>
            <w:shd w:val="clear" w:fill="D3C0AC"/>
          </w:tcPr>
          <w:p/>
        </w:tc>
        <w:tc>
          <w:tcPr>
            <w:tcW w:w="3401.5748031496059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352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6762" w:type="dxa"/>
          </w:tcPr>
          <w:p>
            <w:pPr/>
            <w:r>
              <w:rPr/>
              <w:t xml:space="preserve">0</w:t>
            </w:r>
          </w:p>
        </w:tc>
      </w:tr>
    </w:tbl>
    <w:sectPr>
      <w:pgSz w:orient="portrait" w:w="11905.511811023622" w:h="16837.79527559055"/>
      <w:pgMar w:top="1133.8582677165352" w:right="1303.9370078740158" w:bottom="1133.8582677165352" w:left="1303.937007874015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8819" w:after="51.023622047244096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8819" w:after="51.023622047244096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8819" w:after="51.023622047244096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0705"/>
        <w:tab w:val="left" w:leader="none" w:pos="3685.0393700787399"/>
        <w:tab w:val="left" w:leader="none" w:pos="5102.3622047244089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5</c:v>
              </c:pt>
              <c:pt idx="1">
                <c:v>6</c:v>
              </c:pt>
              <c:pt idx="2">
                <c:v>9</c:v>
              </c:pt>
              <c:pt idx="3">
                <c:v>3</c:v>
              </c:pt>
              <c:pt idx="4">
                <c:v>6</c:v>
              </c:pt>
              <c:pt idx="5">
                <c:v>7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36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23</c:v>
              </c:pt>
              <c:pt idx="1">
                <c:v>13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36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2023-06-14T00:22:24+01:00</dcterms:created>
  <dcterms:modified xsi:type="dcterms:W3CDTF">2023-06-14T00:22:24+01:00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