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Learning Design for: asawirabdulhussein</w:t>
      </w:r>
      <w:bookmarkEnd w:id="1"/>
    </w:p>
    <w:p>
      <w:pPr>
        <w:pStyle w:val="Heading2"/>
      </w:pPr>
      <w:bookmarkStart w:id="2" w:name="_Toc2"/>
      <w:r>
        <w:t>Context</w:t>
      </w:r>
      <w:bookmarkEnd w:id="2"/>
    </w:p>
    <w:p>
      <w:pPr/>
      <w:r>
        <w:rPr/>
        <w:t xml:space="preserve">Topic: marriage and divorce</w:t>
      </w:r>
    </w:p>
    <w:p>
      <w:pPr/>
      <w:r>
        <w:rPr/>
        <w:t xml:space="preserve">Total learning time: 10 hours and 5 minutes</w:t>
      </w:r>
    </w:p>
    <w:p>
      <w:pPr/>
      <w:r>
        <w:rPr/>
        <w:t xml:space="preserve">Designed learning time: 5 minutes</w:t>
      </w:r>
    </w:p>
    <w:p>
      <w:pPr/>
      <w:r>
        <w:rPr/>
        <w:t xml:space="preserve">Size of class: 45</w:t>
      </w:r>
    </w:p>
    <w:p>
      <w:pPr/>
      <w:r>
        <w:rPr/>
        <w:t xml:space="preserve">Description: the relationship in which a husband and wife come together to build a family</w:t>
      </w:r>
    </w:p>
    <w:p>
      <w:pPr/>
      <w:r>
        <w:rPr/>
        <w:t xml:space="preserve">Mode of delivery: Other</w:t>
      </w:r>
    </w:p>
    <w:p>
      <w:pPr>
        <w:pStyle w:val="Heading2"/>
      </w:pPr>
      <w:bookmarkStart w:id="3" w:name="_Toc3"/>
      <w:r>
        <w:t>Aims</w:t>
      </w:r>
      <w:bookmarkEnd w:id="3"/>
    </w:p>
    <w:p>
      <w:pPr/>
      <w:r>
        <w:rPr/>
        <w:t xml:space="preserve">identify the reasons for strengthening the marital relationship</w:t>
      </w:r>
    </w:p>
    <w:p>
      <w:pPr>
        <w:pStyle w:val="Heading2"/>
      </w:pPr>
      <w:bookmarkStart w:id="4" w:name="_Toc4"/>
      <w:r>
        <w:t>Outcomes</w:t>
      </w:r>
      <w:bookmarkEnd w:id="4"/>
    </w:p>
    <w:p>
      <w:pPr/>
      <w:r>
        <w:rPr/>
        <w:t xml:space="preserve">Comprehension: </w:t>
      </w:r>
    </w:p>
    <w:p/>
    <w:p>
      <w:pPr>
        <w:pStyle w:val="Heading2"/>
      </w:pPr>
      <w:bookmarkStart w:id="5" w:name="_Toc5"/>
      <w:r>
        <w:t>Teaching-Learning activities</w:t>
      </w:r>
      <w:bookmarkEnd w:id="5"/>
    </w:p>
    <w:p>
      <w:pPr>
        <w:pStyle w:val="Heading3"/>
      </w:pPr>
      <w:bookmarkStart w:id="6" w:name="_Toc6"/>
      <w:r>
        <w:t/>
      </w:r>
      <w:bookmarkEnd w:id="6"/>
    </w:p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Read Watch Listen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Collaborate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/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p>
      <w:pPr>
        <w:pStyle w:val="Heading3"/>
      </w:pPr>
      <w:bookmarkStart w:id="7" w:name="_Toc7"/>
      <w:r>
        <w:t/>
      </w:r>
      <w:bookmarkEnd w:id="7"/>
    </w:p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Discuss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p>
      <w:pPr>
        <w:pStyle w:val="Heading3"/>
      </w:pPr>
      <w:bookmarkStart w:id="8" w:name="_Toc8"/>
      <w:r>
        <w:t/>
      </w:r>
      <w:bookmarkEnd w:id="8"/>
    </w:p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Investigate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Practice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10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Produce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p>
      <w:r>
        <w:br w:type="page"/>
      </w:r>
    </w:p>
    <w:p>
      <w:pPr>
        <w:pStyle w:val="Heading2"/>
      </w:pPr>
      <w:bookmarkStart w:id="9" w:name="_Toc9"/>
      <w:r>
        <w:t>Representations of the learning experience</w:t>
      </w:r>
      <w:bookmarkEnd w:id="9"/>
    </w:p>
    <w:p>
      <w:r>
        <w:drawing>
          <wp:inline>
            <wp:extent cx="2203200" cy="2314800"/>
            <wp:docPr id="7" name="Chart7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>Learning through</w:t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67DBF2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Acquisition (Read, Watch, Listen)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62.362204724409" w:type="dxa"/>
            <w:shd w:val="clear" w:fill="F8807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Investigation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62.362204724409" w:type="dxa"/>
            <w:shd w:val="clear" w:fill="7AAEEA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Discussion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62.362204724409" w:type="dxa"/>
            <w:shd w:val="clear" w:fill="BB98D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Practice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62.362204724409" w:type="dxa"/>
            <w:shd w:val="clear" w:fill="FFCD0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Collaboration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BDEA75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Production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20</w:t>
            </w:r>
          </w:p>
        </w:tc>
      </w:tr>
    </w:tbl>
    <w:p/>
    <w:p>
      <w:r>
        <w:br w:type="page"/>
      </w:r>
    </w:p>
    <w:p>
      <w:r>
        <w:drawing>
          <wp:inline>
            <wp:extent cx="4629600" cy="1620000"/>
            <wp:docPr id="8" name="Chart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477453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Whole class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6BAD7D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Group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5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6D7B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Individual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/>
    <w:p>
      <w:pPr/>
    </w:p>
    <w:p>
      <w:r>
        <w:drawing>
          <wp:inline>
            <wp:extent cx="2203200" cy="2314800"/>
            <wp:docPr id="9" name="Chart9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2B5B8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Face to face (not online)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5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ECBDB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Online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>
      <w:r>
        <w:drawing>
          <wp:inline>
            <wp:extent cx="2203200" cy="2314800"/>
            <wp:docPr id="10" name="Chart1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73604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D3C0A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not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5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</w:tbl>
    <w:sectPr>
      <w:pgSz w:orient="portrait" w:w="11905.511811024" w:h="16837.795275591"/>
      <w:pgMar w:top="1133.8582677165" w:right="1303.937007874" w:bottom="1133.8582677165" w:left="1303.9370078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left"/>
      <w:spacing w:before="0" w:after="1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0" w:after="400"/>
    </w:pPr>
    <w:rPr>
      <w:rFonts w:ascii="Calibri" w:hAnsi="Calibri" w:eastAsia="Calibri" w:cs="Calibri"/>
      <w:sz w:val="28"/>
      <w:szCs w:val="28"/>
      <w:b/>
      <w:bCs/>
    </w:rPr>
  </w:style>
  <w:style w:type="paragraph" w:styleId="Heading2">
    <w:link w:val="Heading2Char"/>
    <w:name w:val="heading 2"/>
    <w:basedOn w:val="Normal"/>
    <w:pPr>
      <w:jc w:val="left"/>
      <w:spacing w:before="102.04724409449" w:after="51.023622047244"/>
    </w:pPr>
    <w:rPr>
      <w:rFonts w:ascii="Calibri" w:hAnsi="Calibri" w:eastAsia="Calibri" w:cs="Calibri"/>
      <w:sz w:val="28"/>
      <w:szCs w:val="28"/>
      <w:b/>
      <w:bCs/>
    </w:rPr>
  </w:style>
  <w:style w:type="paragraph" w:styleId="Heading3">
    <w:link w:val="Heading3Char"/>
    <w:name w:val="heading 3"/>
    <w:basedOn w:val="Normal"/>
    <w:pPr>
      <w:jc w:val="left"/>
      <w:spacing w:before="102.04724409449" w:after="51.023622047244"/>
    </w:pPr>
    <w:rPr>
      <w:sz w:val="24"/>
      <w:szCs w:val="24"/>
      <w:b/>
      <w:bCs/>
      <w:i/>
      <w:iCs/>
    </w:rPr>
  </w:style>
  <w:style w:type="paragraph" w:styleId="Heading4">
    <w:link w:val="Heading4Char"/>
    <w:name w:val="heading 4"/>
    <w:basedOn w:val="Normal"/>
    <w:pPr>
      <w:jc w:val="left"/>
      <w:spacing w:before="102.04724409449" w:after="51.023622047244"/>
    </w:pPr>
    <w:rPr>
      <w:sz w:val="24"/>
      <w:szCs w:val="24"/>
      <w:i/>
      <w:iCs/>
    </w:rPr>
  </w:style>
  <w:style w:type="character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leader="none" w:pos="2267.7165354331"/>
        <w:tab w:val="left" w:leader="none" w:pos="3685.0393700787"/>
        <w:tab w:val="left" w:leader="none" w:pos="5102.3622047244"/>
      </w:tabs>
    </w:pPr>
  </w:style>
  <w:style w:type="paragraph" w:customStyle="1" w:styleId="pNormalIndent">
    <w:name w:val="pNormalIndent"/>
    <w:basedOn w:val="Normal"/>
    <w:pPr>
      <w:jc w:val="left"/>
    </w:pPr>
  </w:style>
  <w:style w:type="character">
    <w:name w:val="fNormalIndent"/>
    <w:rPr>
      <w:sz w:val="24"/>
      <w:szCs w:val="24"/>
    </w:rPr>
  </w:style>
  <w:style w:type="character">
    <w:name w:val="fHyperLink"/>
    <w:rPr>
      <w:color w:val="#007bff"/>
      <w:u w:val="single"/>
    </w:rPr>
  </w:style>
  <w:style w:type="paragraph" w:customStyle="1" w:styleId="indented">
    <w:name w:val="indented"/>
    <w:basedOn w:val="Normal"/>
    <w:pPr/>
  </w:style>
  <w:style w:type="table" w:customStyle="1" w:styleId="AnalysisTable">
    <w:name w:val="AnalysisTable"/>
    <w:uiPriority w:val="99"/>
    <w:tblPr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6" w:color="ededed"/>
        <w:left w:val="single" w:sz="6" w:color="ededed"/>
        <w:right w:val="single" w:sz="6" w:color="ededed"/>
        <w:bottom w:val="single" w:sz="6" w:color="ededed"/>
        <w:insideH w:val="single" w:sz="6" w:color="ededed"/>
        <w:insideV w:val="single" w:sz="6" w:color="ededed"/>
      </w:tblBorders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ptCount val="6"/>
              <c:pt idx="0">
                <c:v>1</c:v>
              </c:pt>
              <c:pt idx="1">
                <c:v>0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val>
          <c:dPt>
            <c:idx val="0"/>
            <c:spPr>
              <a:solidFill>
                <a:srgbClr val="67DBF2"/>
              </a:solidFill>
            </c:spPr>
          </c:dPt>
          <c:dPt>
            <c:idx val="1"/>
            <c:spPr>
              <a:solidFill>
                <a:srgbClr val="FFCD00"/>
              </a:solidFill>
            </c:spPr>
          </c:dPt>
          <c:dPt>
            <c:idx val="2"/>
            <c:spPr>
              <a:solidFill>
                <a:srgbClr val="7AAEEA"/>
              </a:solidFill>
            </c:spPr>
          </c:dPt>
          <c:dPt>
            <c:idx val="3"/>
            <c:spPr>
              <a:solidFill>
                <a:srgbClr val="F8807F"/>
              </a:solidFill>
            </c:spPr>
          </c:dPt>
          <c:dPt>
            <c:idx val="4"/>
            <c:spPr>
              <a:solidFill>
                <a:srgbClr val="BB98DC"/>
              </a:solidFill>
            </c:spPr>
          </c:dPt>
          <c:dPt>
            <c:idx val="5"/>
            <c:spPr>
              <a:solidFill>
                <a:srgbClr val="BDEA75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barChart>
        <c:varyColors val="0"/>
        <c:barDir val="bar"/>
        <c:grouping val="percentStacked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477453"/>
              </a:solidFill>
            </c:spPr>
          </c:dPt>
          <c:dPt>
            <c:idx val="1"/>
            <c:spPr>
              <a:solidFill>
                <a:srgbClr val="6BAD7D"/>
              </a:solidFill>
            </c:spPr>
          </c:dPt>
          <c:dPt>
            <c:idx val="2"/>
            <c:spPr>
              <a:solidFill>
                <a:srgbClr val="B6D7BF"/>
              </a:solidFill>
            </c:spPr>
          </c:dPt>
        </c:ser>
        <c:ser>
          <c:idx val="1"/>
          <c:order val="1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Group</c:v>
              </c:pt>
            </c:strLit>
          </c:cat>
          <c:val>
            <c:numLit>
              <c:ptCount val="1"/>
              <c:pt idx="0">
                <c:v>5</c:v>
              </c:pt>
            </c:numLit>
          </c:val>
          <c:dPt>
            <c:idx val="0"/>
            <c:spPr>
              <a:solidFill>
                <a:srgbClr val="6BAD7D"/>
              </a:solidFill>
            </c:spPr>
          </c:dPt>
          <c:dPt>
            <c:idx val="1"/>
            <c:spPr>
              <a:solidFill>
                <a:srgbClr val="B6D7BF"/>
              </a:solidFill>
            </c:spPr>
          </c:dPt>
        </c:ser>
        <c:ser>
          <c:idx val="2"/>
          <c:order val="2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Dis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B6D7BF"/>
              </a:solidFill>
            </c:spPr>
          </c:dPt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valAx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ptCount val="2"/>
              <c:pt idx="0">
                <c:v>5</c:v>
              </c:pt>
              <c:pt idx="1">
                <c:v>0</c:v>
              </c:pt>
            </c:numLit>
          </c:val>
          <c:dPt>
            <c:idx val="0"/>
            <c:spPr>
              <a:solidFill>
                <a:srgbClr val="2B5B80"/>
              </a:solidFill>
            </c:spPr>
          </c:dPt>
          <c:dPt>
            <c:idx val="1"/>
            <c:spPr>
              <a:solidFill>
                <a:srgbClr val="BECBDB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ptCount val="2"/>
              <c:pt idx="0">
                <c:v>0</c:v>
              </c:pt>
              <c:pt idx="1">
                <c:v>5</c:v>
              </c:pt>
            </c:numLit>
          </c:val>
          <c:dPt>
            <c:idx val="0"/>
            <c:spPr>
              <a:solidFill>
                <a:srgbClr val="73604C"/>
              </a:solidFill>
            </c:spPr>
          </c:dPt>
          <c:dPt>
            <c:idx val="1"/>
            <c:spPr>
              <a:solidFill>
                <a:srgbClr val="D3C0AC"/>
              </a:solidFill>
            </c:spPr>
          </c:dPt>
        </c:ser>
        <c:overlap val="100"/>
      </c:pieChart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2023</dc:creator>
  <dc:title/>
  <dc:description/>
  <dc:subject/>
  <cp:keywords/>
  <cp:category/>
  <cp:lastModifiedBy/>
  <dcterms:created xsi:type="dcterms:W3CDTF">2023-02-15T10:48:24+00:00</dcterms:created>
  <dcterms:modified xsi:type="dcterms:W3CDTF">2023-02-15T10:48:24+00:00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