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Learning Design for: Copy of dina dawood</w:t>
      </w:r>
      <w:bookmarkEnd w:id="1"/>
    </w:p>
    <w:p>
      <w:pPr>
        <w:pStyle w:val="Heading2"/>
      </w:pPr>
      <w:bookmarkStart w:id="2" w:name="_Toc2"/>
      <w:r>
        <w:t>Context</w:t>
      </w:r>
      <w:bookmarkEnd w:id="2"/>
    </w:p>
    <w:p>
      <w:pPr/>
      <w:r>
        <w:rPr/>
        <w:t xml:space="preserve">Topic: divorce</w:t>
      </w:r>
    </w:p>
    <w:p>
      <w:pPr/>
      <w:r>
        <w:rPr/>
        <w:t xml:space="preserve">Total learning time: 10 hours and 30 minutes</w:t>
      </w:r>
    </w:p>
    <w:p>
      <w:pPr/>
      <w:r>
        <w:rPr/>
        <w:t xml:space="preserve">Designed learning time: 34 minutes</w:t>
      </w:r>
    </w:p>
    <w:p>
      <w:pPr/>
      <w:r>
        <w:rPr/>
        <w:t xml:space="preserve">Size of class: 30</w:t>
      </w:r>
    </w:p>
    <w:p>
      <w:pPr/>
      <w:r>
        <w:rPr/>
        <w:t xml:space="preserve">Description: iis the process of ending the marital relationship or marital bond</w:t>
      </w:r>
    </w:p>
    <w:p>
      <w:pPr/>
      <w:r>
        <w:rPr/>
        <w:t xml:space="preserve">Mode of delivery: No mode selected</w:t>
      </w:r>
    </w:p>
    <w:p>
      <w:pPr>
        <w:pStyle w:val="Heading2"/>
      </w:pPr>
      <w:bookmarkStart w:id="3" w:name="_Toc3"/>
      <w:r>
        <w:t>Aims</w:t>
      </w:r>
      <w:bookmarkEnd w:id="3"/>
    </w:p>
    <w:p>
      <w:pPr/>
      <w:r>
        <w:rPr/>
        <w:t xml:space="preserve">ldentify the most important factors that lead to marital disputes</w:t>
      </w:r>
    </w:p>
    <w:p>
      <w:pPr>
        <w:pStyle w:val="Heading2"/>
      </w:pPr>
      <w:bookmarkStart w:id="4" w:name="_Toc4"/>
      <w:r>
        <w:t>Outcomes</w:t>
      </w:r>
      <w:bookmarkEnd w:id="4"/>
    </w:p>
    <w:p>
      <w:pPr/>
      <w:r>
        <w:rPr/>
        <w:t xml:space="preserve">Knowledge: </w:t>
      </w:r>
    </w:p>
    <w:p/>
    <w:p>
      <w:pPr>
        <w:pStyle w:val="Heading2"/>
      </w:pPr>
      <w:bookmarkStart w:id="5" w:name="_Toc5"/>
      <w:r>
        <w:t>Teaching-Learning activities</w:t>
      </w:r>
      <w:bookmarkEnd w:id="5"/>
    </w:p>
    <w:p>
      <w:pPr>
        <w:pStyle w:val="Heading3"/>
      </w:pPr>
      <w:bookmarkStart w:id="6" w:name="_Toc6"/>
      <w:r>
        <w:t/>
      </w:r>
      <w:bookmarkEnd w:id="6"/>
    </w:p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Read Watch Listen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10 minutes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1 Student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Collaborate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20 minutes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5 Students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Discuss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1 minute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15 Students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Investigate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1 minute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45 Students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Practice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1 minute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25 Students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Produce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1 minute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10 Students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p>
      <w:r>
        <w:br w:type="page"/>
      </w:r>
    </w:p>
    <w:p>
      <w:pPr>
        <w:pStyle w:val="Heading2"/>
      </w:pPr>
      <w:bookmarkStart w:id="7" w:name="_Toc7"/>
      <w:r>
        <w:t>Representations of the learning experience</w:t>
      </w:r>
      <w:bookmarkEnd w:id="7"/>
    </w:p>
    <w:p>
      <w:r>
        <w:drawing>
          <wp:inline>
            <wp:extent cx="2203200" cy="2314800"/>
            <wp:docPr id="7" name="Chart7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Grid>
        <w:gridCol w:w="62.362204724409" w:type="dxa"/>
        <w:gridCol w:w="3401.5748031496" w:type="dxa"/>
        <w:gridCol w:w="1133.8582677165" w:type="dxa"/>
        <w:gridCol w:w="566.92913385827" w:type="dxa"/>
      </w:tblGrid>
      <w:tblPr>
        <w:tblStyle w:val="AnalysisTable"/>
      </w:tblPr>
      <w:tr>
        <w:trPr/>
        <w:tc>
          <w:tcPr>
            <w:tcW w:w="3463.937007874" w:type="dxa"/>
            <w:vAlign w:val="center"/>
            <w:gridSpan w:val="2"/>
          </w:tcPr>
          <w:p>
            <w:pPr/>
            <w:r>
              <w:rPr>
                <w:b/>
                <w:bCs/>
              </w:rPr>
              <w:t xml:space="preserve">Learning through</w:t>
            </w:r>
          </w:p>
        </w:tc>
        <w:tc>
          <w:tcPr>
            <w:tcW w:w="1133.8582677165" w:type="dxa"/>
            <w:vAlign w:val="center"/>
          </w:tcPr>
          <w:p>
            <w:pPr/>
            <w:r>
              <w:rPr>
                <w:b/>
                <w:bCs/>
              </w:rPr>
              <w:t xml:space="preserve">minutes</w:t>
            </w:r>
          </w:p>
        </w:tc>
        <w:tc>
          <w:tcPr>
            <w:tcW w:w="566.92913385827" w:type="dxa"/>
          </w:tcPr>
          <w:p>
            <w:pPr/>
            <w:r>
              <w:rPr>
                <w:b/>
                <w:bCs/>
              </w:rPr>
              <w:t xml:space="preserve">%</w:t>
            </w:r>
          </w:p>
        </w:tc>
      </w:tr>
      <w:tr>
        <w:trPr/>
        <w:tc>
          <w:tcPr>
            <w:tcW w:w="62.362204724409" w:type="dxa"/>
            <w:shd w:val="clear" w:fill="67DBF2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Acquisition (Read, Watch, Listen)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10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29</w:t>
            </w:r>
          </w:p>
        </w:tc>
      </w:tr>
      <w:tr>
        <w:trPr/>
        <w:tc>
          <w:tcPr>
            <w:tcW w:w="62.362204724409" w:type="dxa"/>
            <w:shd w:val="clear" w:fill="F8807F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Investigation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1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3</w:t>
            </w:r>
          </w:p>
        </w:tc>
      </w:tr>
      <w:tr>
        <w:trPr/>
        <w:tc>
          <w:tcPr>
            <w:tcW w:w="62.362204724409" w:type="dxa"/>
            <w:shd w:val="clear" w:fill="7AAEEA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Discussion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1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3</w:t>
            </w:r>
          </w:p>
        </w:tc>
      </w:tr>
      <w:tr>
        <w:trPr/>
        <w:tc>
          <w:tcPr>
            <w:tcW w:w="62.362204724409" w:type="dxa"/>
            <w:shd w:val="clear" w:fill="BB98DC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Practice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1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3</w:t>
            </w:r>
          </w:p>
        </w:tc>
      </w:tr>
      <w:tr>
        <w:trPr/>
        <w:tc>
          <w:tcPr>
            <w:tcW w:w="62.362204724409" w:type="dxa"/>
            <w:shd w:val="clear" w:fill="FFCD00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Collaboration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20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59</w:t>
            </w:r>
          </w:p>
        </w:tc>
      </w:tr>
      <w:tr>
        <w:trPr/>
        <w:tc>
          <w:tcPr>
            <w:tcW w:w="62.362204724409" w:type="dxa"/>
            <w:shd w:val="clear" w:fill="BDEA75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Production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1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3</w:t>
            </w:r>
          </w:p>
        </w:tc>
      </w:tr>
    </w:tbl>
    <w:p/>
    <w:p>
      <w:r>
        <w:br w:type="page"/>
      </w:r>
    </w:p>
    <w:p>
      <w:r>
        <w:drawing>
          <wp:inline>
            <wp:extent cx="4629600" cy="1620000"/>
            <wp:docPr id="8" name="Chart8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Grid>
        <w:gridCol w:w="62.362204724409" w:type="dxa"/>
        <w:gridCol w:w="3401.5748031496" w:type="dxa"/>
        <w:gridCol w:w="1133.8582677165" w:type="dxa"/>
        <w:gridCol w:w="566.92913385827" w:type="dxa"/>
      </w:tblGrid>
      <w:tblPr>
        <w:tblStyle w:val="AnalysisTable"/>
      </w:tblPr>
      <w:tr>
        <w:trPr/>
        <w:tc>
          <w:tcPr>
            <w:tcW w:w="3463.937007874" w:type="dxa"/>
            <w:vAlign w:val="center"/>
            <w:gridSpan w:val="2"/>
          </w:tcPr>
          <w:p>
            <w:pPr/>
            <w:r>
              <w:rPr>
                <w:b/>
                <w:bCs/>
              </w:rPr>
              <w:t xml:space="preserve"/>
            </w:r>
          </w:p>
        </w:tc>
        <w:tc>
          <w:tcPr>
            <w:tcW w:w="1133.8582677165" w:type="dxa"/>
            <w:vAlign w:val="center"/>
          </w:tcPr>
          <w:p>
            <w:pPr/>
            <w:r>
              <w:rPr>
                <w:b/>
                <w:bCs/>
              </w:rPr>
              <w:t xml:space="preserve">minutes</w:t>
            </w:r>
          </w:p>
        </w:tc>
        <w:tc>
          <w:tcPr>
            <w:tcW w:w="566.92913385827" w:type="dxa"/>
          </w:tcPr>
          <w:p>
            <w:pPr/>
            <w:r>
              <w:rPr>
                <w:b/>
                <w:bCs/>
              </w:rPr>
              <w:t xml:space="preserve">%</w:t>
            </w:r>
          </w:p>
        </w:tc>
      </w:tr>
      <w:tr>
        <w:trPr/>
        <w:tc>
          <w:tcPr>
            <w:tcW w:w="62.362204724409" w:type="dxa"/>
            <w:shd w:val="clear" w:fill="477453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Whole class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0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0</w:t>
            </w:r>
          </w:p>
        </w:tc>
      </w:tr>
      <w:tr>
        <w:trPr/>
        <w:tc>
          <w:tcPr>
            <w:tcW w:w="62.362204724409" w:type="dxa"/>
            <w:shd w:val="clear" w:fill="6BAD7D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Group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23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70</w:t>
            </w:r>
          </w:p>
        </w:tc>
      </w:tr>
      <w:tr>
        <w:trPr/>
        <w:tc>
          <w:tcPr>
            <w:tcW w:w="62.362204724409" w:type="dxa"/>
            <w:shd w:val="clear" w:fill="B6D7BF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Individual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10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30</w:t>
            </w:r>
          </w:p>
        </w:tc>
      </w:tr>
    </w:tbl>
    <w:p/>
    <w:p>
      <w:pPr/>
    </w:p>
    <w:p>
      <w:r>
        <w:drawing>
          <wp:inline>
            <wp:extent cx="2203200" cy="2314800"/>
            <wp:docPr id="9" name="Chart9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Grid>
        <w:gridCol w:w="62.362204724409" w:type="dxa"/>
        <w:gridCol w:w="3401.5748031496" w:type="dxa"/>
        <w:gridCol w:w="1133.8582677165" w:type="dxa"/>
        <w:gridCol w:w="566.92913385827" w:type="dxa"/>
      </w:tblGrid>
      <w:tblPr>
        <w:tblStyle w:val="AnalysisTable"/>
      </w:tblPr>
      <w:tr>
        <w:trPr/>
        <w:tc>
          <w:tcPr>
            <w:tcW w:w="3463.937007874" w:type="dxa"/>
            <w:vAlign w:val="center"/>
            <w:gridSpan w:val="2"/>
          </w:tcPr>
          <w:p>
            <w:pPr/>
            <w:r>
              <w:rPr>
                <w:b/>
                <w:bCs/>
              </w:rPr>
              <w:t xml:space="preserve"/>
            </w:r>
          </w:p>
        </w:tc>
        <w:tc>
          <w:tcPr>
            <w:tcW w:w="1133.8582677165" w:type="dxa"/>
            <w:vAlign w:val="center"/>
          </w:tcPr>
          <w:p>
            <w:pPr/>
            <w:r>
              <w:rPr>
                <w:b/>
                <w:bCs/>
              </w:rPr>
              <w:t xml:space="preserve">minutes</w:t>
            </w:r>
          </w:p>
        </w:tc>
        <w:tc>
          <w:tcPr>
            <w:tcW w:w="566.92913385827" w:type="dxa"/>
          </w:tcPr>
          <w:p>
            <w:pPr/>
            <w:r>
              <w:rPr>
                <w:b/>
                <w:bCs/>
              </w:rPr>
              <w:t xml:space="preserve">%</w:t>
            </w:r>
          </w:p>
        </w:tc>
      </w:tr>
      <w:tr>
        <w:trPr/>
        <w:tc>
          <w:tcPr>
            <w:tcW w:w="62.362204724409" w:type="dxa"/>
            <w:shd w:val="clear" w:fill="2B5B80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Face to face (not online)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34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100</w:t>
            </w:r>
          </w:p>
        </w:tc>
      </w:tr>
      <w:tr>
        <w:trPr/>
        <w:tc>
          <w:tcPr>
            <w:tcW w:w="62.362204724409" w:type="dxa"/>
            <w:shd w:val="clear" w:fill="BECBDB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Online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0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0</w:t>
            </w:r>
          </w:p>
        </w:tc>
      </w:tr>
    </w:tbl>
    <w:p>
      <w:r>
        <w:drawing>
          <wp:inline>
            <wp:extent cx="2203200" cy="2314800"/>
            <wp:docPr id="10" name="Chart10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Grid>
        <w:gridCol w:w="62.362204724409" w:type="dxa"/>
        <w:gridCol w:w="3401.5748031496" w:type="dxa"/>
        <w:gridCol w:w="1133.8582677165" w:type="dxa"/>
        <w:gridCol w:w="566.92913385827" w:type="dxa"/>
      </w:tblGrid>
      <w:tblPr>
        <w:tblStyle w:val="AnalysisTable"/>
      </w:tblPr>
      <w:tr>
        <w:trPr/>
        <w:tc>
          <w:tcPr>
            <w:tcW w:w="3463.937007874" w:type="dxa"/>
            <w:vAlign w:val="center"/>
            <w:gridSpan w:val="2"/>
          </w:tcPr>
          <w:p>
            <w:pPr/>
            <w:r>
              <w:rPr>
                <w:b/>
                <w:bCs/>
              </w:rPr>
              <w:t xml:space="preserve"/>
            </w:r>
          </w:p>
        </w:tc>
        <w:tc>
          <w:tcPr>
            <w:tcW w:w="1133.8582677165" w:type="dxa"/>
            <w:vAlign w:val="center"/>
          </w:tcPr>
          <w:p>
            <w:pPr/>
            <w:r>
              <w:rPr>
                <w:b/>
                <w:bCs/>
              </w:rPr>
              <w:t xml:space="preserve">minutes</w:t>
            </w:r>
          </w:p>
        </w:tc>
        <w:tc>
          <w:tcPr>
            <w:tcW w:w="566.92913385827" w:type="dxa"/>
          </w:tcPr>
          <w:p>
            <w:pPr/>
            <w:r>
              <w:rPr>
                <w:b/>
                <w:bCs/>
              </w:rPr>
              <w:t xml:space="preserve">%</w:t>
            </w:r>
          </w:p>
        </w:tc>
      </w:tr>
      <w:tr>
        <w:trPr/>
        <w:tc>
          <w:tcPr>
            <w:tcW w:w="62.362204724409" w:type="dxa"/>
            <w:shd w:val="clear" w:fill="73604C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Teacher present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0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0</w:t>
            </w:r>
          </w:p>
        </w:tc>
      </w:tr>
      <w:tr>
        <w:trPr/>
        <w:tc>
          <w:tcPr>
            <w:tcW w:w="62.362204724409" w:type="dxa"/>
            <w:shd w:val="clear" w:fill="D3C0AC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Teacher not present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34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100</w:t>
            </w:r>
          </w:p>
        </w:tc>
      </w:tr>
    </w:tbl>
    <w:sectPr>
      <w:pgSz w:orient="portrait" w:w="11905.511811024" w:h="16837.795275591"/>
      <w:pgMar w:top="1133.8582677165" w:right="1303.937007874" w:bottom="1133.8582677165" w:left="1303.93700787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  <w:pPr>
      <w:jc w:val="left"/>
      <w:spacing w:before="0" w:after="12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0" w:after="400"/>
    </w:pPr>
    <w:rPr>
      <w:rFonts w:ascii="Calibri" w:hAnsi="Calibri" w:eastAsia="Calibri" w:cs="Calibri"/>
      <w:sz w:val="28"/>
      <w:szCs w:val="28"/>
      <w:b/>
      <w:bCs/>
    </w:rPr>
  </w:style>
  <w:style w:type="paragraph" w:styleId="Heading2">
    <w:link w:val="Heading2Char"/>
    <w:name w:val="heading 2"/>
    <w:basedOn w:val="Normal"/>
    <w:pPr>
      <w:jc w:val="left"/>
      <w:spacing w:before="102.04724409449" w:after="51.023622047244"/>
    </w:pPr>
    <w:rPr>
      <w:rFonts w:ascii="Calibri" w:hAnsi="Calibri" w:eastAsia="Calibri" w:cs="Calibri"/>
      <w:sz w:val="28"/>
      <w:szCs w:val="28"/>
      <w:b/>
      <w:bCs/>
    </w:rPr>
  </w:style>
  <w:style w:type="paragraph" w:styleId="Heading3">
    <w:link w:val="Heading3Char"/>
    <w:name w:val="heading 3"/>
    <w:basedOn w:val="Normal"/>
    <w:pPr>
      <w:jc w:val="left"/>
      <w:spacing w:before="102.04724409449" w:after="51.023622047244"/>
    </w:pPr>
    <w:rPr>
      <w:sz w:val="24"/>
      <w:szCs w:val="24"/>
      <w:b/>
      <w:bCs/>
      <w:i/>
      <w:iCs/>
    </w:rPr>
  </w:style>
  <w:style w:type="paragraph" w:styleId="Heading4">
    <w:link w:val="Heading4Char"/>
    <w:name w:val="heading 4"/>
    <w:basedOn w:val="Normal"/>
    <w:pPr>
      <w:jc w:val="left"/>
      <w:spacing w:before="102.04724409449" w:after="51.023622047244"/>
    </w:pPr>
    <w:rPr>
      <w:sz w:val="24"/>
      <w:szCs w:val="24"/>
      <w:i/>
      <w:iCs/>
    </w:rPr>
  </w:style>
  <w:style w:type="character">
    <w:name w:val="fMultipleTab"/>
    <w:rPr>
      <w:i/>
      <w:iCs/>
    </w:rPr>
  </w:style>
  <w:style w:type="paragraph" w:customStyle="1" w:styleId="multipleTab">
    <w:name w:val="multipleTab"/>
    <w:basedOn w:val="Normal"/>
    <w:pPr>
      <w:tabs>
        <w:tab w:val="left" w:leader="none" w:pos="2267.7165354331"/>
        <w:tab w:val="left" w:leader="none" w:pos="3685.0393700787"/>
        <w:tab w:val="left" w:leader="none" w:pos="5102.3622047244"/>
      </w:tabs>
    </w:pPr>
  </w:style>
  <w:style w:type="paragraph" w:customStyle="1" w:styleId="pNormalIndent">
    <w:name w:val="pNormalIndent"/>
    <w:basedOn w:val="Normal"/>
    <w:pPr>
      <w:jc w:val="left"/>
    </w:pPr>
  </w:style>
  <w:style w:type="character">
    <w:name w:val="fNormalIndent"/>
    <w:rPr>
      <w:sz w:val="24"/>
      <w:szCs w:val="24"/>
    </w:rPr>
  </w:style>
  <w:style w:type="character">
    <w:name w:val="fHyperLink"/>
    <w:rPr>
      <w:color w:val="#007bff"/>
      <w:u w:val="single"/>
    </w:rPr>
  </w:style>
  <w:style w:type="paragraph" w:customStyle="1" w:styleId="indented">
    <w:name w:val="indented"/>
    <w:basedOn w:val="Normal"/>
    <w:pPr/>
  </w:style>
  <w:style w:type="table" w:customStyle="1" w:styleId="AnalysisTable">
    <w:name w:val="AnalysisTable"/>
    <w:uiPriority w:val="99"/>
    <w:tblPr>
      <w:tblW w:w="0" w:type="auto"/>
      <w:tblLayout w:type="autofit"/>
      <w:tblCellMar>
        <w:top w:w="80" w:type="dxa"/>
        <w:left w:w="80" w:type="dxa"/>
        <w:right w:w="80" w:type="dxa"/>
        <w:bottom w:w="80" w:type="dxa"/>
      </w:tblCellMar>
      <w:tblBorders>
        <w:top w:val="single" w:sz="6" w:color="ededed"/>
        <w:left w:val="single" w:sz="6" w:color="ededed"/>
        <w:right w:val="single" w:sz="6" w:color="ededed"/>
        <w:bottom w:val="single" w:sz="6" w:color="ededed"/>
        <w:insideH w:val="single" w:sz="6" w:color="ededed"/>
        <w:insideV w:val="single" w:sz="6" w:color="ededed"/>
      </w:tblBorders>
    </w:tblPr>
    <w:tblStylePr w:type="firstRow"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chart" Target="charts/chart3.xml"/><Relationship Id="rId10" Type="http://schemas.openxmlformats.org/officeDocument/2006/relationships/chart" Target="charts/chart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plotArea>
      <c:layout/>
      <c:pieChart>
        <c:varyColors val="1"/>
        <c:ser>
          <c:idx val="0"/>
          <c:order val="0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6"/>
              <c:pt idx="0">
                <c:v>Acquisition</c:v>
              </c:pt>
              <c:pt idx="1">
                <c:v>Collaboration</c:v>
              </c:pt>
              <c:pt idx="2">
                <c:v>Discussion</c:v>
              </c:pt>
              <c:pt idx="3">
                <c:v>Inquiry</c:v>
              </c:pt>
              <c:pt idx="4">
                <c:v>Practice</c:v>
              </c:pt>
              <c:pt idx="5">
                <c:v>Production</c:v>
              </c:pt>
            </c:strLit>
          </c:cat>
          <c:val>
            <c:numLit>
              <c:ptCount val="6"/>
              <c:pt idx="0">
                <c:v>10</c:v>
              </c:pt>
              <c:pt idx="1">
                <c:v>20</c:v>
              </c:pt>
              <c:pt idx="2">
                <c:v>1</c:v>
              </c:pt>
              <c:pt idx="3">
                <c:v>1</c:v>
              </c:pt>
              <c:pt idx="4">
                <c:v>1</c:v>
              </c:pt>
              <c:pt idx="5">
                <c:v>1</c:v>
              </c:pt>
            </c:numLit>
          </c:val>
          <c:dPt>
            <c:idx val="0"/>
            <c:spPr>
              <a:solidFill>
                <a:srgbClr val="67DBF2"/>
              </a:solidFill>
            </c:spPr>
          </c:dPt>
          <c:dPt>
            <c:idx val="1"/>
            <c:spPr>
              <a:solidFill>
                <a:srgbClr val="FFCD00"/>
              </a:solidFill>
            </c:spPr>
          </c:dPt>
          <c:dPt>
            <c:idx val="2"/>
            <c:spPr>
              <a:solidFill>
                <a:srgbClr val="7AAEEA"/>
              </a:solidFill>
            </c:spPr>
          </c:dPt>
          <c:dPt>
            <c:idx val="3"/>
            <c:spPr>
              <a:solidFill>
                <a:srgbClr val="F8807F"/>
              </a:solidFill>
            </c:spPr>
          </c:dPt>
          <c:dPt>
            <c:idx val="4"/>
            <c:spPr>
              <a:solidFill>
                <a:srgbClr val="BB98DC"/>
              </a:solidFill>
            </c:spPr>
          </c:dPt>
          <c:dPt>
            <c:idx val="5"/>
            <c:spPr>
              <a:solidFill>
                <a:srgbClr val="BDEA75"/>
              </a:solidFill>
            </c:spPr>
          </c:dPt>
        </c:ser>
        <c:overlap val="100"/>
      </c:pieChart>
    </c:plotArea>
  </c:chart>
  <c:spPr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plotArea>
      <c:layout/>
      <c:barChart>
        <c:varyColors val="0"/>
        <c:barDir val="bar"/>
        <c:grouping val="percentStacked"/>
        <c:ser>
          <c:idx val="0"/>
          <c:order val="0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3"/>
              <c:pt idx="0">
                <c:v>Whole class</c:v>
              </c:pt>
              <c:pt idx="1">
                <c:v>Group</c:v>
              </c:pt>
              <c:pt idx="2">
                <c:v>Individual</c:v>
              </c:pt>
            </c:strLit>
          </c:cat>
          <c:val>
            <c:numLit>
              <c:ptCount val="1"/>
              <c:pt idx="0">
                <c:v>0</c:v>
              </c:pt>
            </c:numLit>
          </c:val>
          <c:dPt>
            <c:idx val="0"/>
            <c:spPr>
              <a:solidFill>
                <a:srgbClr val="477453"/>
              </a:solidFill>
            </c:spPr>
          </c:dPt>
          <c:dPt>
            <c:idx val="1"/>
            <c:spPr>
              <a:solidFill>
                <a:srgbClr val="6BAD7D"/>
              </a:solidFill>
            </c:spPr>
          </c:dPt>
          <c:dPt>
            <c:idx val="2"/>
            <c:spPr>
              <a:solidFill>
                <a:srgbClr val="B6D7BF"/>
              </a:solidFill>
            </c:spPr>
          </c:dPt>
        </c:ser>
        <c:ser>
          <c:idx val="1"/>
          <c:order val="1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1"/>
              <c:pt idx="0">
                <c:v>Group</c:v>
              </c:pt>
            </c:strLit>
          </c:cat>
          <c:val>
            <c:numLit>
              <c:ptCount val="1"/>
              <c:pt idx="0">
                <c:v>23</c:v>
              </c:pt>
            </c:numLit>
          </c:val>
          <c:dPt>
            <c:idx val="0"/>
            <c:spPr>
              <a:solidFill>
                <a:srgbClr val="6BAD7D"/>
              </a:solidFill>
            </c:spPr>
          </c:dPt>
          <c:dPt>
            <c:idx val="1"/>
            <c:spPr>
              <a:solidFill>
                <a:srgbClr val="B6D7BF"/>
              </a:solidFill>
            </c:spPr>
          </c:dPt>
        </c:ser>
        <c:ser>
          <c:idx val="2"/>
          <c:order val="2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1"/>
              <c:pt idx="0">
                <c:v>Dis</c:v>
              </c:pt>
            </c:strLit>
          </c:cat>
          <c:val>
            <c:numLit>
              <c:ptCount val="1"/>
              <c:pt idx="0">
                <c:v>10</c:v>
              </c:pt>
            </c:numLit>
          </c:val>
          <c:dPt>
            <c:idx val="0"/>
            <c:spPr>
              <a:solidFill>
                <a:srgbClr val="B6D7BF"/>
              </a:solidFill>
            </c:spPr>
          </c:dPt>
        </c:ser>
        <c:overlap val="100"/>
        <c:axId val="1"/>
        <c:axId val="2"/>
      </c:barChart>
      <c:catAx>
        <c:axId val="1"/>
        <c:axPos val="b"/>
        <c:crossAx val="2"/>
        <c:auto val="1"/>
        <c:delete val="0"/>
        <c:majorTickMark val="none"/>
        <c:minorTickMark val="none"/>
        <c:tickLblPos val="none"/>
        <c:crosses val="autoZero"/>
        <c:scaling>
          <c:orientation val="minMax"/>
        </c:scaling>
        <c:spPr>
          <a:ln>
            <a:noFill/>
          </a:ln>
        </c:spPr>
      </c:catAx>
      <c:valAx>
        <c:axId val="2"/>
        <c:axPos val="l"/>
        <c:crossAx val="1"/>
        <c:auto val="1"/>
        <c:delete val="0"/>
        <c:majorTickMark val="none"/>
        <c:minorTickMark val="none"/>
        <c:tickLblPos val="none"/>
        <c:crosses val="autoZero"/>
        <c:scaling>
          <c:orientation val="minMax"/>
        </c:scaling>
        <c:spPr>
          <a:ln>
            <a:noFill/>
          </a:ln>
        </c:spPr>
      </c:valAx>
    </c:plotArea>
  </c:chart>
  <c:spPr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plotArea>
      <c:layout/>
      <c:pieChart>
        <c:varyColors val="1"/>
        <c:ser>
          <c:idx val="0"/>
          <c:order val="0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2"/>
              <c:pt idx="0">
                <c:v>Face to face (not online)</c:v>
              </c:pt>
              <c:pt idx="1">
                <c:v>Online</c:v>
              </c:pt>
            </c:strLit>
          </c:cat>
          <c:val>
            <c:numLit>
              <c:ptCount val="2"/>
              <c:pt idx="0">
                <c:v>34</c:v>
              </c:pt>
              <c:pt idx="1">
                <c:v>0</c:v>
              </c:pt>
            </c:numLit>
          </c:val>
          <c:dPt>
            <c:idx val="0"/>
            <c:spPr>
              <a:solidFill>
                <a:srgbClr val="2B5B80"/>
              </a:solidFill>
            </c:spPr>
          </c:dPt>
          <c:dPt>
            <c:idx val="1"/>
            <c:spPr>
              <a:solidFill>
                <a:srgbClr val="BECBDB"/>
              </a:solidFill>
            </c:spPr>
          </c:dPt>
        </c:ser>
        <c:overlap val="100"/>
      </c:pieChart>
    </c:plotArea>
  </c:chart>
  <c:spPr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plotArea>
      <c:layout/>
      <c:pieChart>
        <c:varyColors val="1"/>
        <c:ser>
          <c:idx val="0"/>
          <c:order val="0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2"/>
              <c:pt idx="0">
                <c:v>Teacher present</c:v>
              </c:pt>
              <c:pt idx="1">
                <c:v>Teacher not present</c:v>
              </c:pt>
            </c:strLit>
          </c:cat>
          <c:val>
            <c:numLit>
              <c:ptCount val="2"/>
              <c:pt idx="0">
                <c:v>0</c:v>
              </c:pt>
              <c:pt idx="1">
                <c:v>34</c:v>
              </c:pt>
            </c:numLit>
          </c:val>
          <c:dPt>
            <c:idx val="0"/>
            <c:spPr>
              <a:solidFill>
                <a:srgbClr val="73604C"/>
              </a:solidFill>
            </c:spPr>
          </c:dPt>
          <c:dPt>
            <c:idx val="1"/>
            <c:spPr>
              <a:solidFill>
                <a:srgbClr val="D3C0AC"/>
              </a:solidFill>
            </c:spPr>
          </c:dPt>
        </c:ser>
        <c:overlap val="100"/>
      </c:pieChart>
    </c:plotArea>
  </c:chart>
  <c:spPr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Designer 2023</dc:creator>
  <dc:title/>
  <dc:description/>
  <dc:subject/>
  <cp:keywords/>
  <cp:category/>
  <cp:lastModifiedBy/>
  <dcterms:created xsi:type="dcterms:W3CDTF">2023-02-14T21:07:08+00:00</dcterms:created>
  <dcterms:modified xsi:type="dcterms:W3CDTF">2023-02-14T21:07:08+00:00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